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B31F2" w14:textId="77777777" w:rsidR="006A5976" w:rsidRDefault="004336DD">
      <w:pPr>
        <w:jc w:val="center"/>
        <w:rPr>
          <w:b/>
          <w:bCs/>
          <w:sz w:val="28"/>
          <w:szCs w:val="28"/>
          <w:lang w:val="uk-UA"/>
        </w:rPr>
      </w:pPr>
      <w:r>
        <w:rPr>
          <w:b/>
          <w:bCs/>
          <w:sz w:val="28"/>
          <w:szCs w:val="28"/>
          <w:lang w:val="uk-UA"/>
        </w:rPr>
        <w:t>КАРТКА ЗАХОДУ</w:t>
      </w:r>
    </w:p>
    <w:p w14:paraId="2B77EA61" w14:textId="7BB0F348" w:rsidR="006A5976" w:rsidRDefault="004336DD">
      <w:pPr>
        <w:jc w:val="center"/>
        <w:rPr>
          <w:color w:val="000000"/>
          <w:sz w:val="28"/>
          <w:szCs w:val="28"/>
          <w:lang w:val="uk-UA"/>
        </w:rPr>
      </w:pPr>
      <w:r>
        <w:rPr>
          <w:sz w:val="28"/>
          <w:szCs w:val="28"/>
          <w:lang w:val="uk-UA"/>
        </w:rPr>
        <w:t>(</w:t>
      </w:r>
      <w:r>
        <w:rPr>
          <w:i/>
          <w:iCs/>
          <w:color w:val="000000"/>
          <w:sz w:val="28"/>
          <w:szCs w:val="28"/>
          <w:lang w:val="uk-UA"/>
        </w:rPr>
        <w:t xml:space="preserve">майстер-клас, </w:t>
      </w:r>
      <w:proofErr w:type="spellStart"/>
      <w:r>
        <w:rPr>
          <w:i/>
          <w:iCs/>
          <w:color w:val="000000"/>
          <w:sz w:val="28"/>
          <w:szCs w:val="28"/>
          <w:lang w:val="uk-UA"/>
        </w:rPr>
        <w:t>симуляційний</w:t>
      </w:r>
      <w:proofErr w:type="spellEnd"/>
      <w:r>
        <w:rPr>
          <w:i/>
          <w:iCs/>
          <w:color w:val="000000"/>
          <w:sz w:val="28"/>
          <w:szCs w:val="28"/>
          <w:lang w:val="uk-UA"/>
        </w:rPr>
        <w:t xml:space="preserve"> тренінг, тренінг з оволодіння практичними навичками, тренінг, семінар, фахова (тематична) школа</w:t>
      </w:r>
      <w:r>
        <w:rPr>
          <w:color w:val="000000"/>
          <w:sz w:val="28"/>
          <w:szCs w:val="28"/>
          <w:lang w:val="uk-UA"/>
        </w:rPr>
        <w:t>)</w:t>
      </w:r>
    </w:p>
    <w:p w14:paraId="4E721D7F" w14:textId="77777777" w:rsidR="00AF08DB" w:rsidRDefault="00AF08DB">
      <w:pPr>
        <w:jc w:val="center"/>
        <w:rPr>
          <w:b/>
          <w:bCs/>
          <w:color w:val="000000"/>
          <w:sz w:val="28"/>
          <w:szCs w:val="28"/>
          <w:lang w:val="uk-UA"/>
        </w:rPr>
      </w:pPr>
    </w:p>
    <w:p w14:paraId="3267606F" w14:textId="4C855F0A" w:rsidR="006A5976" w:rsidRDefault="004336DD">
      <w:pPr>
        <w:jc w:val="center"/>
        <w:rPr>
          <w:b/>
          <w:bCs/>
          <w:sz w:val="28"/>
          <w:szCs w:val="28"/>
          <w:lang w:val="uk-UA"/>
        </w:rPr>
      </w:pPr>
      <w:r>
        <w:rPr>
          <w:b/>
          <w:bCs/>
          <w:sz w:val="28"/>
          <w:szCs w:val="28"/>
          <w:lang w:val="uk-UA"/>
        </w:rPr>
        <w:t>БПР МЕДИЧНИХ</w:t>
      </w:r>
      <w:r>
        <w:rPr>
          <w:b/>
          <w:bCs/>
          <w:spacing w:val="1"/>
          <w:sz w:val="28"/>
          <w:szCs w:val="28"/>
          <w:lang w:val="uk-UA"/>
        </w:rPr>
        <w:t xml:space="preserve"> </w:t>
      </w:r>
      <w:r>
        <w:rPr>
          <w:b/>
          <w:bCs/>
          <w:sz w:val="28"/>
          <w:szCs w:val="28"/>
          <w:lang w:val="uk-UA"/>
        </w:rPr>
        <w:t>ТА</w:t>
      </w:r>
      <w:r>
        <w:rPr>
          <w:b/>
          <w:bCs/>
          <w:spacing w:val="1"/>
          <w:sz w:val="28"/>
          <w:szCs w:val="28"/>
          <w:lang w:val="uk-UA"/>
        </w:rPr>
        <w:t xml:space="preserve"> </w:t>
      </w:r>
      <w:r>
        <w:rPr>
          <w:b/>
          <w:bCs/>
          <w:sz w:val="28"/>
          <w:szCs w:val="28"/>
          <w:lang w:val="uk-UA"/>
        </w:rPr>
        <w:t>ФАРМАЦЕВТИЧНИХ</w:t>
      </w:r>
      <w:r>
        <w:rPr>
          <w:b/>
          <w:bCs/>
          <w:spacing w:val="1"/>
          <w:sz w:val="28"/>
          <w:szCs w:val="28"/>
          <w:lang w:val="uk-UA"/>
        </w:rPr>
        <w:t xml:space="preserve"> </w:t>
      </w:r>
      <w:r>
        <w:rPr>
          <w:b/>
          <w:bCs/>
          <w:sz w:val="28"/>
          <w:szCs w:val="28"/>
          <w:lang w:val="uk-UA"/>
        </w:rPr>
        <w:t>ПРАЦІВНИКІВ</w:t>
      </w:r>
    </w:p>
    <w:p w14:paraId="339BD115" w14:textId="77777777" w:rsidR="00AF08DB" w:rsidRDefault="00AF08DB">
      <w:pPr>
        <w:jc w:val="center"/>
        <w:rPr>
          <w:b/>
          <w:bCs/>
          <w:sz w:val="28"/>
          <w:szCs w:val="28"/>
          <w:lang w:val="uk-UA"/>
        </w:rPr>
      </w:pPr>
    </w:p>
    <w:tbl>
      <w:tblPr>
        <w:tblStyle w:val="a7"/>
        <w:tblW w:w="9747" w:type="dxa"/>
        <w:tblLook w:val="04A0" w:firstRow="1" w:lastRow="0" w:firstColumn="1" w:lastColumn="0" w:noHBand="0" w:noVBand="1"/>
      </w:tblPr>
      <w:tblGrid>
        <w:gridCol w:w="3964"/>
        <w:gridCol w:w="5783"/>
      </w:tblGrid>
      <w:tr w:rsidR="006A5976" w:rsidRPr="000F6336" w14:paraId="0C2A686C" w14:textId="77777777" w:rsidTr="00AF08DB">
        <w:trPr>
          <w:trHeight w:val="327"/>
        </w:trPr>
        <w:tc>
          <w:tcPr>
            <w:tcW w:w="3964" w:type="dxa"/>
          </w:tcPr>
          <w:p w14:paraId="42EB49F5"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Назва заходу БПР</w:t>
            </w:r>
          </w:p>
        </w:tc>
        <w:tc>
          <w:tcPr>
            <w:tcW w:w="5783" w:type="dxa"/>
          </w:tcPr>
          <w:p w14:paraId="5781085B" w14:textId="7E1FD0D4" w:rsidR="006A5976" w:rsidRDefault="00206E11" w:rsidP="00AF08DB">
            <w:pPr>
              <w:rPr>
                <w:b/>
                <w:bCs/>
                <w:sz w:val="24"/>
                <w:szCs w:val="24"/>
                <w:lang w:val="uk-UA"/>
              </w:rPr>
            </w:pPr>
            <w:r>
              <w:rPr>
                <w:sz w:val="24"/>
                <w:szCs w:val="24"/>
                <w:lang w:val="uk-UA"/>
              </w:rPr>
              <w:t>Організація роботи груп швидкого реагування з питань радіаційної безпеки</w:t>
            </w:r>
          </w:p>
        </w:tc>
      </w:tr>
      <w:tr w:rsidR="006A5976" w:rsidRPr="000F6336" w14:paraId="3E699D9F" w14:textId="77777777" w:rsidTr="00AF08DB">
        <w:tc>
          <w:tcPr>
            <w:tcW w:w="3964" w:type="dxa"/>
          </w:tcPr>
          <w:p w14:paraId="51F4B726"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Назва Провайдера (з Єдиного державного реєстру юридичних осіб, фізичних осіб – підприємців та громадських формувань)</w:t>
            </w:r>
          </w:p>
        </w:tc>
        <w:tc>
          <w:tcPr>
            <w:tcW w:w="5783" w:type="dxa"/>
          </w:tcPr>
          <w:p w14:paraId="34230452" w14:textId="77777777" w:rsidR="006A5976" w:rsidRDefault="004336DD" w:rsidP="00AF08DB">
            <w:pPr>
              <w:rPr>
                <w:b/>
                <w:bCs/>
                <w:sz w:val="24"/>
                <w:szCs w:val="24"/>
                <w:lang w:val="uk-UA"/>
              </w:rPr>
            </w:pPr>
            <w:r>
              <w:rPr>
                <w:sz w:val="24"/>
                <w:szCs w:val="24"/>
                <w:lang w:val="uk-UA"/>
              </w:rPr>
              <w:t>ДУ «Івано-Франківський ОЦКПХ МОЗ»</w:t>
            </w:r>
          </w:p>
        </w:tc>
      </w:tr>
      <w:tr w:rsidR="006A5976" w14:paraId="1A3F0A0B" w14:textId="77777777" w:rsidTr="00AF08DB">
        <w:tc>
          <w:tcPr>
            <w:tcW w:w="3964" w:type="dxa"/>
          </w:tcPr>
          <w:p w14:paraId="74D0C2D0"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Співорганізатори заходу</w:t>
            </w:r>
          </w:p>
        </w:tc>
        <w:tc>
          <w:tcPr>
            <w:tcW w:w="5783" w:type="dxa"/>
          </w:tcPr>
          <w:p w14:paraId="07CE8E8A" w14:textId="77777777" w:rsidR="006A5976" w:rsidRDefault="004336DD" w:rsidP="00AF08DB">
            <w:pPr>
              <w:rPr>
                <w:b/>
                <w:bCs/>
                <w:sz w:val="24"/>
                <w:szCs w:val="24"/>
                <w:lang w:val="uk-UA"/>
              </w:rPr>
            </w:pPr>
            <w:r>
              <w:rPr>
                <w:b/>
                <w:bCs/>
                <w:sz w:val="24"/>
                <w:szCs w:val="24"/>
                <w:lang w:val="uk-UA"/>
              </w:rPr>
              <w:t>-</w:t>
            </w:r>
          </w:p>
        </w:tc>
      </w:tr>
      <w:tr w:rsidR="006A5976" w:rsidRPr="000F6336" w14:paraId="6134A3A7" w14:textId="77777777" w:rsidTr="00AF08DB">
        <w:tc>
          <w:tcPr>
            <w:tcW w:w="3964" w:type="dxa"/>
          </w:tcPr>
          <w:p w14:paraId="7F710D87"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Цільова аудиторія (відповідно до Номенклатури лікарських спеціальностей)</w:t>
            </w:r>
          </w:p>
        </w:tc>
        <w:tc>
          <w:tcPr>
            <w:tcW w:w="5783" w:type="dxa"/>
          </w:tcPr>
          <w:p w14:paraId="2270ECAE" w14:textId="42F1F061" w:rsidR="006A5976" w:rsidRPr="000F6336" w:rsidRDefault="000F6336" w:rsidP="00AF08DB">
            <w:pPr>
              <w:rPr>
                <w:sz w:val="24"/>
                <w:szCs w:val="24"/>
                <w:lang w:val="uk-UA"/>
              </w:rPr>
            </w:pPr>
            <w:r w:rsidRPr="000F6336">
              <w:rPr>
                <w:rStyle w:val="bzpyqfadein"/>
                <w:lang w:val="uk-UA"/>
              </w:rPr>
              <w:t xml:space="preserve">Лікарські спеціальності, Лікарські спеціальності загального профілю, Загальна практика - сімейна медицина, Лікарські спеціальності спеціалізованого профілю, Лікарські спеціальності нехірургічного профілю, Радіологія, Ядерна медицина, Лікарські спеціальності медико-профілактичного профілю, Гігієна дітей та підлітків, Гігієна праці, Гігієна харчування, Епідеміологія, Загальна гігієна, Комунальна гігієна, Лабораторні дослідження факторів навколишнього середовища, Лабораторні дослідження фізичних факторів навколишнього середовища, Лабораторні дослідження хімічних факторів навколишнього середовища, Радіаційна гігієна, Інші лікарські спеціальності, Організація і управління охороною здоров'я, Спеціальності професіоналів у сфері охорони здоров'я, Спеціальності професіоналів медико-профілактичного профілю, Громадське здоров’я, Довкілля та здоров’я, Лабораторні дослідження факторів навколишнього середовища, Спеціальності фахівців у сфері охорони здоров'я, </w:t>
            </w:r>
            <w:proofErr w:type="spellStart"/>
            <w:r w:rsidRPr="000F6336">
              <w:rPr>
                <w:rStyle w:val="bzpyqfadein"/>
                <w:lang w:val="uk-UA"/>
              </w:rPr>
              <w:t>Медсестринські</w:t>
            </w:r>
            <w:proofErr w:type="spellEnd"/>
            <w:r w:rsidRPr="000F6336">
              <w:rPr>
                <w:rStyle w:val="bzpyqfadein"/>
                <w:lang w:val="uk-UA"/>
              </w:rPr>
              <w:t xml:space="preserve"> спеціальності, Загальна практика - сімейна медицина, Організація і управління охороною здоров'я, Спеціальності фахівців медико-профілактичного, медико-лабораторного, фармацевтичного профілю, Громадське здоров’я, Лабораторна діагностика, Медико-профілактична справа</w:t>
            </w:r>
            <w:bookmarkStart w:id="0" w:name="_GoBack"/>
            <w:bookmarkEnd w:id="0"/>
          </w:p>
        </w:tc>
      </w:tr>
      <w:tr w:rsidR="006A5976" w14:paraId="64872241" w14:textId="77777777" w:rsidTr="00AF08DB">
        <w:tc>
          <w:tcPr>
            <w:tcW w:w="3964" w:type="dxa"/>
          </w:tcPr>
          <w:p w14:paraId="3B7732B5"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Вид заходу БПР</w:t>
            </w:r>
          </w:p>
        </w:tc>
        <w:tc>
          <w:tcPr>
            <w:tcW w:w="5783" w:type="dxa"/>
          </w:tcPr>
          <w:p w14:paraId="66E118F3" w14:textId="2215ECC2" w:rsidR="006A5976" w:rsidRDefault="00AF08DB" w:rsidP="00AF08DB">
            <w:pPr>
              <w:rPr>
                <w:b/>
                <w:bCs/>
                <w:sz w:val="24"/>
                <w:szCs w:val="24"/>
                <w:lang w:val="uk-UA"/>
              </w:rPr>
            </w:pPr>
            <w:r>
              <w:rPr>
                <w:sz w:val="24"/>
                <w:szCs w:val="24"/>
                <w:lang w:val="uk-UA"/>
              </w:rPr>
              <w:t>С</w:t>
            </w:r>
            <w:r w:rsidR="004336DD">
              <w:rPr>
                <w:sz w:val="24"/>
                <w:szCs w:val="24"/>
                <w:lang w:val="uk-UA"/>
              </w:rPr>
              <w:t>емінар</w:t>
            </w:r>
          </w:p>
        </w:tc>
      </w:tr>
      <w:tr w:rsidR="006A5976" w14:paraId="053D0F66" w14:textId="77777777" w:rsidTr="00AF08DB">
        <w:tc>
          <w:tcPr>
            <w:tcW w:w="3964" w:type="dxa"/>
          </w:tcPr>
          <w:p w14:paraId="2F39FABF"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Запланована кількість учасників</w:t>
            </w:r>
          </w:p>
        </w:tc>
        <w:tc>
          <w:tcPr>
            <w:tcW w:w="5783" w:type="dxa"/>
          </w:tcPr>
          <w:p w14:paraId="5E5530C6" w14:textId="745FE99E" w:rsidR="006A5976" w:rsidRDefault="00F362A6" w:rsidP="00AF08DB">
            <w:pPr>
              <w:rPr>
                <w:b/>
                <w:bCs/>
                <w:sz w:val="24"/>
                <w:szCs w:val="24"/>
                <w:lang w:val="uk-UA"/>
              </w:rPr>
            </w:pPr>
            <w:r>
              <w:rPr>
                <w:sz w:val="24"/>
                <w:szCs w:val="24"/>
                <w:lang w:val="uk-UA"/>
              </w:rPr>
              <w:t>6</w:t>
            </w:r>
            <w:r w:rsidR="004336DD">
              <w:rPr>
                <w:sz w:val="24"/>
                <w:szCs w:val="24"/>
                <w:lang w:val="uk-UA"/>
              </w:rPr>
              <w:t>0</w:t>
            </w:r>
          </w:p>
        </w:tc>
      </w:tr>
      <w:tr w:rsidR="006A5976" w:rsidRPr="000F6336" w14:paraId="45B215CB" w14:textId="77777777" w:rsidTr="00AF08DB">
        <w:tc>
          <w:tcPr>
            <w:tcW w:w="3964" w:type="dxa"/>
          </w:tcPr>
          <w:p w14:paraId="12846C03"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Мета навчання</w:t>
            </w:r>
          </w:p>
        </w:tc>
        <w:tc>
          <w:tcPr>
            <w:tcW w:w="5783" w:type="dxa"/>
          </w:tcPr>
          <w:p w14:paraId="7D306C27" w14:textId="320A0A33" w:rsidR="006A5976" w:rsidRDefault="00206E11" w:rsidP="00206E11">
            <w:pPr>
              <w:rPr>
                <w:b/>
                <w:bCs/>
                <w:sz w:val="24"/>
                <w:szCs w:val="24"/>
                <w:lang w:val="uk-UA"/>
              </w:rPr>
            </w:pPr>
            <w:r>
              <w:rPr>
                <w:sz w:val="24"/>
                <w:szCs w:val="24"/>
                <w:lang w:val="uk-UA"/>
              </w:rPr>
              <w:t>Удосконалення</w:t>
            </w:r>
            <w:r w:rsidR="001911CC">
              <w:rPr>
                <w:sz w:val="24"/>
                <w:szCs w:val="24"/>
                <w:lang w:val="uk-UA"/>
              </w:rPr>
              <w:t xml:space="preserve"> знань</w:t>
            </w:r>
            <w:r>
              <w:rPr>
                <w:sz w:val="24"/>
                <w:szCs w:val="24"/>
                <w:lang w:val="uk-UA"/>
              </w:rPr>
              <w:t xml:space="preserve"> фахівців сфери охорони здоров’я щодо радіологічної безпеки</w:t>
            </w:r>
            <w:r w:rsidR="008F153E">
              <w:rPr>
                <w:sz w:val="24"/>
                <w:szCs w:val="24"/>
                <w:lang w:val="uk-UA"/>
              </w:rPr>
              <w:t>.</w:t>
            </w:r>
            <w:r>
              <w:rPr>
                <w:sz w:val="24"/>
                <w:szCs w:val="24"/>
                <w:lang w:val="uk-UA"/>
              </w:rPr>
              <w:t xml:space="preserve"> </w:t>
            </w:r>
            <w:r w:rsidR="008F153E">
              <w:rPr>
                <w:sz w:val="24"/>
                <w:szCs w:val="24"/>
                <w:lang w:val="uk-UA"/>
              </w:rPr>
              <w:t>О</w:t>
            </w:r>
            <w:r>
              <w:rPr>
                <w:sz w:val="24"/>
                <w:szCs w:val="24"/>
                <w:lang w:val="uk-UA"/>
              </w:rPr>
              <w:t xml:space="preserve">рганізації роботи груп швидкого реагування з питань радіологічної безпеки, організація та проведення протирадіаційних заходів у вогнищі, заходи профілактики. </w:t>
            </w:r>
            <w:r w:rsidR="001911CC">
              <w:rPr>
                <w:sz w:val="24"/>
                <w:szCs w:val="24"/>
                <w:lang w:val="uk-UA"/>
              </w:rPr>
              <w:t xml:space="preserve"> </w:t>
            </w:r>
          </w:p>
        </w:tc>
      </w:tr>
      <w:tr w:rsidR="006A5976" w:rsidRPr="000F6336" w14:paraId="2C15A117" w14:textId="77777777" w:rsidTr="00AF08DB">
        <w:tc>
          <w:tcPr>
            <w:tcW w:w="3964" w:type="dxa"/>
          </w:tcPr>
          <w:p w14:paraId="5BFAEFE0"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Метод / методи навчання</w:t>
            </w:r>
          </w:p>
        </w:tc>
        <w:tc>
          <w:tcPr>
            <w:tcW w:w="5783" w:type="dxa"/>
          </w:tcPr>
          <w:p w14:paraId="44D14A21" w14:textId="55330A6C" w:rsidR="006A5976" w:rsidRDefault="004336DD" w:rsidP="00AF08DB">
            <w:pPr>
              <w:rPr>
                <w:b/>
                <w:bCs/>
                <w:sz w:val="24"/>
                <w:szCs w:val="24"/>
                <w:lang w:val="uk-UA"/>
              </w:rPr>
            </w:pPr>
            <w:r>
              <w:rPr>
                <w:sz w:val="24"/>
                <w:szCs w:val="24"/>
                <w:lang w:val="uk-UA"/>
              </w:rPr>
              <w:t xml:space="preserve">Презентації, лекції, </w:t>
            </w:r>
            <w:r w:rsidR="00AF08DB">
              <w:rPr>
                <w:sz w:val="24"/>
                <w:szCs w:val="24"/>
                <w:lang w:val="uk-UA"/>
              </w:rPr>
              <w:t xml:space="preserve">дискусія, </w:t>
            </w:r>
            <w:r>
              <w:rPr>
                <w:sz w:val="24"/>
                <w:szCs w:val="24"/>
                <w:lang w:val="uk-UA"/>
              </w:rPr>
              <w:t>тест</w:t>
            </w:r>
            <w:r w:rsidR="00AF08DB">
              <w:rPr>
                <w:sz w:val="24"/>
                <w:szCs w:val="24"/>
                <w:lang w:val="uk-UA"/>
              </w:rPr>
              <w:t>овий контроль</w:t>
            </w:r>
          </w:p>
        </w:tc>
      </w:tr>
      <w:tr w:rsidR="006A5976" w14:paraId="2775FE46" w14:textId="77777777" w:rsidTr="00AF08DB">
        <w:tc>
          <w:tcPr>
            <w:tcW w:w="3964" w:type="dxa"/>
          </w:tcPr>
          <w:p w14:paraId="54D1C5AC"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Кількість балів БПР</w:t>
            </w:r>
          </w:p>
        </w:tc>
        <w:tc>
          <w:tcPr>
            <w:tcW w:w="5783" w:type="dxa"/>
          </w:tcPr>
          <w:p w14:paraId="0E993AEB" w14:textId="7124C27A" w:rsidR="006A5976" w:rsidRPr="00AF08DB" w:rsidRDefault="00206E11" w:rsidP="00AF08DB">
            <w:pPr>
              <w:rPr>
                <w:sz w:val="24"/>
                <w:szCs w:val="24"/>
                <w:lang w:val="uk-UA"/>
              </w:rPr>
            </w:pPr>
            <w:r>
              <w:rPr>
                <w:sz w:val="24"/>
                <w:szCs w:val="24"/>
                <w:lang w:val="uk-UA"/>
              </w:rPr>
              <w:t xml:space="preserve"> </w:t>
            </w:r>
            <w:r w:rsidR="009A3553">
              <w:rPr>
                <w:sz w:val="24"/>
                <w:szCs w:val="24"/>
                <w:lang w:val="uk-UA"/>
              </w:rPr>
              <w:t xml:space="preserve">                               7</w:t>
            </w:r>
            <w:r>
              <w:rPr>
                <w:sz w:val="24"/>
                <w:szCs w:val="24"/>
                <w:lang w:val="uk-UA"/>
              </w:rPr>
              <w:t xml:space="preserve"> балів</w:t>
            </w:r>
          </w:p>
        </w:tc>
      </w:tr>
      <w:tr w:rsidR="006A5976" w14:paraId="1A89A7B2" w14:textId="77777777" w:rsidTr="00AF08DB">
        <w:tc>
          <w:tcPr>
            <w:tcW w:w="3964" w:type="dxa"/>
          </w:tcPr>
          <w:p w14:paraId="74A8800B"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Дата заходу БПР</w:t>
            </w:r>
          </w:p>
        </w:tc>
        <w:tc>
          <w:tcPr>
            <w:tcW w:w="5783" w:type="dxa"/>
          </w:tcPr>
          <w:p w14:paraId="7F45242C" w14:textId="5AC98B94" w:rsidR="006A5976" w:rsidRDefault="00206E11" w:rsidP="00AF08DB">
            <w:pPr>
              <w:rPr>
                <w:b/>
                <w:bCs/>
                <w:sz w:val="24"/>
                <w:szCs w:val="24"/>
                <w:lang w:val="uk-UA"/>
              </w:rPr>
            </w:pPr>
            <w:r>
              <w:rPr>
                <w:sz w:val="24"/>
                <w:szCs w:val="24"/>
                <w:lang w:val="uk-UA"/>
              </w:rPr>
              <w:t>2</w:t>
            </w:r>
            <w:r w:rsidR="001911CC">
              <w:rPr>
                <w:sz w:val="24"/>
                <w:szCs w:val="24"/>
                <w:lang w:val="uk-UA"/>
              </w:rPr>
              <w:t xml:space="preserve">9 квітня </w:t>
            </w:r>
            <w:r w:rsidR="004336DD">
              <w:rPr>
                <w:sz w:val="24"/>
                <w:szCs w:val="24"/>
                <w:lang w:val="uk-UA"/>
              </w:rPr>
              <w:t xml:space="preserve"> 202</w:t>
            </w:r>
            <w:r w:rsidR="001911CC">
              <w:rPr>
                <w:sz w:val="24"/>
                <w:szCs w:val="24"/>
                <w:lang w:val="uk-UA"/>
              </w:rPr>
              <w:t>6</w:t>
            </w:r>
            <w:r w:rsidR="004336DD">
              <w:rPr>
                <w:sz w:val="24"/>
                <w:szCs w:val="24"/>
                <w:lang w:val="uk-UA"/>
              </w:rPr>
              <w:t xml:space="preserve"> року</w:t>
            </w:r>
          </w:p>
        </w:tc>
      </w:tr>
      <w:tr w:rsidR="006A5976" w:rsidRPr="000F6336" w14:paraId="508CC66D" w14:textId="77777777" w:rsidTr="00AF08DB">
        <w:tc>
          <w:tcPr>
            <w:tcW w:w="3964" w:type="dxa"/>
          </w:tcPr>
          <w:p w14:paraId="2DF306F2"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Місце проведення заходу БПР (повна адреса)</w:t>
            </w:r>
          </w:p>
        </w:tc>
        <w:tc>
          <w:tcPr>
            <w:tcW w:w="5783" w:type="dxa"/>
          </w:tcPr>
          <w:p w14:paraId="5F5E3CFE" w14:textId="77777777" w:rsidR="006A5976" w:rsidRDefault="004336DD" w:rsidP="00AF08DB">
            <w:pPr>
              <w:rPr>
                <w:sz w:val="24"/>
                <w:szCs w:val="24"/>
                <w:lang w:val="uk-UA"/>
              </w:rPr>
            </w:pPr>
            <w:r>
              <w:rPr>
                <w:sz w:val="24"/>
                <w:szCs w:val="24"/>
                <w:lang w:val="uk-UA"/>
              </w:rPr>
              <w:t>місто Івано-Франківськ, вул. Шевченка</w:t>
            </w:r>
            <w:r w:rsidR="00D340D4">
              <w:rPr>
                <w:sz w:val="24"/>
                <w:szCs w:val="24"/>
                <w:lang w:val="uk-UA"/>
              </w:rPr>
              <w:t>,</w:t>
            </w:r>
            <w:r>
              <w:rPr>
                <w:sz w:val="24"/>
                <w:szCs w:val="24"/>
                <w:lang w:val="uk-UA"/>
              </w:rPr>
              <w:t xml:space="preserve"> 4</w:t>
            </w:r>
          </w:p>
          <w:p w14:paraId="3D56B643" w14:textId="77777777" w:rsidR="006A5976" w:rsidRDefault="004336DD" w:rsidP="00AF08DB">
            <w:pPr>
              <w:rPr>
                <w:sz w:val="24"/>
                <w:szCs w:val="24"/>
                <w:lang w:val="ru-RU"/>
              </w:rPr>
            </w:pPr>
            <w:r>
              <w:rPr>
                <w:sz w:val="24"/>
                <w:szCs w:val="24"/>
                <w:lang w:val="uk-UA"/>
              </w:rPr>
              <w:t xml:space="preserve">Захід відбудеться на платформі </w:t>
            </w:r>
            <w:r>
              <w:rPr>
                <w:sz w:val="24"/>
                <w:szCs w:val="24"/>
              </w:rPr>
              <w:t>ZOOM</w:t>
            </w:r>
            <w:r>
              <w:rPr>
                <w:sz w:val="24"/>
                <w:szCs w:val="24"/>
                <w:lang w:val="ru-RU"/>
              </w:rPr>
              <w:t>.</w:t>
            </w:r>
          </w:p>
          <w:p w14:paraId="429B07F3" w14:textId="77777777" w:rsidR="006A5976" w:rsidRDefault="004336DD" w:rsidP="00AF08DB">
            <w:pPr>
              <w:rPr>
                <w:b/>
                <w:bCs/>
                <w:sz w:val="24"/>
                <w:szCs w:val="24"/>
                <w:lang w:val="uk-UA"/>
              </w:rPr>
            </w:pPr>
            <w:r>
              <w:rPr>
                <w:sz w:val="24"/>
                <w:szCs w:val="24"/>
                <w:lang w:val="uk-UA"/>
              </w:rPr>
              <w:t xml:space="preserve">Посилання для приєднання </w:t>
            </w:r>
            <w:r w:rsidR="00D340D4">
              <w:rPr>
                <w:sz w:val="24"/>
                <w:szCs w:val="24"/>
                <w:lang w:val="uk-UA"/>
              </w:rPr>
              <w:t xml:space="preserve">буде надіслано всім учасникам, </w:t>
            </w:r>
            <w:r>
              <w:rPr>
                <w:sz w:val="24"/>
                <w:szCs w:val="24"/>
                <w:lang w:val="uk-UA"/>
              </w:rPr>
              <w:t xml:space="preserve">на  вказану </w:t>
            </w:r>
            <w:r w:rsidR="00D340D4">
              <w:rPr>
                <w:sz w:val="24"/>
                <w:szCs w:val="24"/>
                <w:lang w:val="uk-UA"/>
              </w:rPr>
              <w:t xml:space="preserve">при реєстрації </w:t>
            </w:r>
            <w:r>
              <w:rPr>
                <w:sz w:val="24"/>
                <w:szCs w:val="24"/>
                <w:lang w:val="uk-UA"/>
              </w:rPr>
              <w:t xml:space="preserve">електронну </w:t>
            </w:r>
            <w:r>
              <w:rPr>
                <w:sz w:val="24"/>
                <w:szCs w:val="24"/>
                <w:lang w:val="uk-UA"/>
              </w:rPr>
              <w:lastRenderedPageBreak/>
              <w:t xml:space="preserve">пошту </w:t>
            </w:r>
          </w:p>
        </w:tc>
      </w:tr>
      <w:tr w:rsidR="006A5976" w:rsidRPr="00A50460" w14:paraId="2F0A9042" w14:textId="77777777" w:rsidTr="00AF08DB">
        <w:tc>
          <w:tcPr>
            <w:tcW w:w="3964" w:type="dxa"/>
          </w:tcPr>
          <w:p w14:paraId="43A51292"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lastRenderedPageBreak/>
              <w:t>Прізвище, ім’я та по батькові лектора/тренера</w:t>
            </w:r>
          </w:p>
        </w:tc>
        <w:tc>
          <w:tcPr>
            <w:tcW w:w="5783" w:type="dxa"/>
          </w:tcPr>
          <w:p w14:paraId="4615797D" w14:textId="761332D8" w:rsidR="00AF08DB" w:rsidRDefault="004336DD" w:rsidP="00AF08DB">
            <w:pPr>
              <w:rPr>
                <w:sz w:val="24"/>
                <w:szCs w:val="24"/>
                <w:lang w:val="uk-UA"/>
              </w:rPr>
            </w:pPr>
            <w:r>
              <w:rPr>
                <w:sz w:val="24"/>
                <w:szCs w:val="24"/>
                <w:lang w:val="uk-UA"/>
              </w:rPr>
              <w:t>1.</w:t>
            </w:r>
            <w:r w:rsidR="009A03AA">
              <w:rPr>
                <w:sz w:val="24"/>
                <w:szCs w:val="24"/>
                <w:lang w:val="uk-UA"/>
              </w:rPr>
              <w:t xml:space="preserve"> </w:t>
            </w:r>
            <w:r>
              <w:rPr>
                <w:sz w:val="24"/>
                <w:szCs w:val="24"/>
                <w:lang w:val="uk-UA"/>
              </w:rPr>
              <w:t>Савчук Руслан Миколайович;</w:t>
            </w:r>
          </w:p>
          <w:p w14:paraId="14D0A2D8" w14:textId="4878E684" w:rsidR="00AF08DB" w:rsidRDefault="00F155F4" w:rsidP="00AF08DB">
            <w:pPr>
              <w:rPr>
                <w:sz w:val="24"/>
                <w:szCs w:val="24"/>
                <w:lang w:val="uk-UA"/>
              </w:rPr>
            </w:pPr>
            <w:r>
              <w:rPr>
                <w:sz w:val="24"/>
                <w:szCs w:val="24"/>
                <w:lang w:val="uk-UA"/>
              </w:rPr>
              <w:t>2</w:t>
            </w:r>
            <w:r w:rsidR="00AF08DB">
              <w:rPr>
                <w:sz w:val="24"/>
                <w:szCs w:val="24"/>
                <w:lang w:val="uk-UA"/>
              </w:rPr>
              <w:t xml:space="preserve">. </w:t>
            </w:r>
            <w:proofErr w:type="spellStart"/>
            <w:r w:rsidR="00206E11">
              <w:rPr>
                <w:sz w:val="24"/>
                <w:szCs w:val="24"/>
                <w:lang w:val="uk-UA"/>
              </w:rPr>
              <w:t>Фіглевський</w:t>
            </w:r>
            <w:proofErr w:type="spellEnd"/>
            <w:r w:rsidR="00206E11">
              <w:rPr>
                <w:sz w:val="24"/>
                <w:szCs w:val="24"/>
                <w:lang w:val="uk-UA"/>
              </w:rPr>
              <w:t xml:space="preserve"> Віталій </w:t>
            </w:r>
            <w:proofErr w:type="spellStart"/>
            <w:r w:rsidR="00206E11">
              <w:rPr>
                <w:sz w:val="24"/>
                <w:szCs w:val="24"/>
                <w:lang w:val="uk-UA"/>
              </w:rPr>
              <w:t>Мечеславович</w:t>
            </w:r>
            <w:proofErr w:type="spellEnd"/>
            <w:r w:rsidR="00AF08DB">
              <w:rPr>
                <w:sz w:val="24"/>
                <w:szCs w:val="24"/>
                <w:lang w:val="uk-UA"/>
              </w:rPr>
              <w:t>;</w:t>
            </w:r>
          </w:p>
          <w:p w14:paraId="6DDF6AA1" w14:textId="03C1ECA5" w:rsidR="00AF08DB" w:rsidRPr="00AF08DB" w:rsidRDefault="00F155F4" w:rsidP="00AF08DB">
            <w:pPr>
              <w:rPr>
                <w:sz w:val="24"/>
                <w:szCs w:val="24"/>
                <w:lang w:val="uk-UA"/>
              </w:rPr>
            </w:pPr>
            <w:r>
              <w:rPr>
                <w:sz w:val="24"/>
                <w:szCs w:val="24"/>
                <w:lang w:val="uk-UA"/>
              </w:rPr>
              <w:t>3</w:t>
            </w:r>
            <w:r w:rsidR="004336DD">
              <w:rPr>
                <w:sz w:val="24"/>
                <w:szCs w:val="24"/>
                <w:lang w:val="uk-UA"/>
              </w:rPr>
              <w:t>.</w:t>
            </w:r>
            <w:r w:rsidR="009A03AA">
              <w:rPr>
                <w:sz w:val="24"/>
                <w:szCs w:val="24"/>
                <w:lang w:val="uk-UA"/>
              </w:rPr>
              <w:t xml:space="preserve"> </w:t>
            </w:r>
            <w:r w:rsidR="00206E11">
              <w:rPr>
                <w:sz w:val="24"/>
                <w:szCs w:val="24"/>
                <w:lang w:val="uk-UA"/>
              </w:rPr>
              <w:t xml:space="preserve">Ільницька </w:t>
            </w:r>
            <w:r w:rsidR="003342D7">
              <w:rPr>
                <w:sz w:val="24"/>
                <w:szCs w:val="24"/>
                <w:lang w:val="uk-UA"/>
              </w:rPr>
              <w:t>Наталія Ярославівна</w:t>
            </w:r>
            <w:r w:rsidR="00AF08DB">
              <w:rPr>
                <w:sz w:val="24"/>
                <w:szCs w:val="24"/>
                <w:lang w:val="uk-UA"/>
              </w:rPr>
              <w:t>.</w:t>
            </w:r>
          </w:p>
        </w:tc>
      </w:tr>
      <w:tr w:rsidR="006A5976" w:rsidRPr="000F6336" w14:paraId="6ABDC254" w14:textId="77777777" w:rsidTr="00AF08DB">
        <w:tc>
          <w:tcPr>
            <w:tcW w:w="3964" w:type="dxa"/>
          </w:tcPr>
          <w:p w14:paraId="434D11DD"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Резюме лектора/тренера</w:t>
            </w:r>
          </w:p>
        </w:tc>
        <w:tc>
          <w:tcPr>
            <w:tcW w:w="5783" w:type="dxa"/>
          </w:tcPr>
          <w:p w14:paraId="7EB3159C" w14:textId="0C9EBBFF" w:rsidR="006A5976" w:rsidRDefault="004336DD" w:rsidP="00AF08DB">
            <w:pPr>
              <w:pStyle w:val="a8"/>
              <w:numPr>
                <w:ilvl w:val="0"/>
                <w:numId w:val="2"/>
              </w:numPr>
              <w:ind w:left="9" w:firstLine="0"/>
              <w:jc w:val="left"/>
              <w:rPr>
                <w:sz w:val="24"/>
                <w:szCs w:val="24"/>
                <w:lang w:val="uk-UA"/>
              </w:rPr>
            </w:pPr>
            <w:r>
              <w:rPr>
                <w:sz w:val="24"/>
                <w:szCs w:val="24"/>
                <w:lang w:val="uk-UA"/>
              </w:rPr>
              <w:t>Савчук Руслан Миколайович – генеральний директор ДУ «Івано-Франківський ОЦКПХ МОЗ», Головний державний санітарний лікар Івано-Франківської області;</w:t>
            </w:r>
          </w:p>
          <w:p w14:paraId="362887BC" w14:textId="36DF25FA" w:rsidR="003342D7" w:rsidRDefault="003342D7" w:rsidP="003342D7">
            <w:pPr>
              <w:rPr>
                <w:sz w:val="24"/>
                <w:szCs w:val="24"/>
                <w:lang w:val="uk-UA"/>
              </w:rPr>
            </w:pPr>
            <w:r>
              <w:rPr>
                <w:sz w:val="24"/>
                <w:szCs w:val="24"/>
                <w:lang w:val="uk-UA"/>
              </w:rPr>
              <w:t xml:space="preserve">2.Фіглевський Віталій </w:t>
            </w:r>
            <w:proofErr w:type="spellStart"/>
            <w:r>
              <w:rPr>
                <w:sz w:val="24"/>
                <w:szCs w:val="24"/>
                <w:lang w:val="uk-UA"/>
              </w:rPr>
              <w:t>Мечеславович</w:t>
            </w:r>
            <w:proofErr w:type="spellEnd"/>
            <w:r w:rsidR="00AF08DB">
              <w:rPr>
                <w:sz w:val="24"/>
                <w:szCs w:val="24"/>
                <w:lang w:val="uk-UA"/>
              </w:rPr>
              <w:t xml:space="preserve"> </w:t>
            </w:r>
            <w:r>
              <w:rPr>
                <w:sz w:val="24"/>
                <w:szCs w:val="24"/>
                <w:lang w:val="uk-UA"/>
              </w:rPr>
              <w:t xml:space="preserve">в.о. заступника генерального директора з досліджень фізичних та хімічних факторів, начальник відділу готовності та реагування на НС, </w:t>
            </w:r>
            <w:r w:rsidRPr="009A56F8">
              <w:rPr>
                <w:sz w:val="24"/>
                <w:szCs w:val="24"/>
                <w:lang w:val="uk-UA"/>
              </w:rPr>
              <w:t xml:space="preserve">лікар </w:t>
            </w:r>
            <w:r>
              <w:rPr>
                <w:sz w:val="24"/>
                <w:szCs w:val="24"/>
                <w:lang w:val="uk-UA"/>
              </w:rPr>
              <w:t xml:space="preserve">із </w:t>
            </w:r>
            <w:r w:rsidRPr="009A56F8">
              <w:rPr>
                <w:sz w:val="24"/>
                <w:szCs w:val="24"/>
                <w:lang w:val="uk-UA"/>
              </w:rPr>
              <w:t>загальної гігієни</w:t>
            </w:r>
            <w:r>
              <w:rPr>
                <w:sz w:val="24"/>
                <w:szCs w:val="24"/>
                <w:lang w:val="uk-UA"/>
              </w:rPr>
              <w:t>;</w:t>
            </w:r>
            <w:r w:rsidRPr="009A56F8">
              <w:rPr>
                <w:sz w:val="24"/>
                <w:szCs w:val="24"/>
                <w:lang w:val="uk-UA"/>
              </w:rPr>
              <w:t xml:space="preserve"> </w:t>
            </w:r>
          </w:p>
          <w:p w14:paraId="335BFB20" w14:textId="5EE122EE" w:rsidR="006A5976" w:rsidRPr="00AF08DB" w:rsidRDefault="003342D7" w:rsidP="00AF08DB">
            <w:pPr>
              <w:pStyle w:val="a8"/>
              <w:ind w:left="9" w:firstLine="0"/>
              <w:jc w:val="left"/>
              <w:rPr>
                <w:sz w:val="24"/>
                <w:szCs w:val="24"/>
                <w:lang w:val="uk-UA"/>
              </w:rPr>
            </w:pPr>
            <w:r>
              <w:rPr>
                <w:sz w:val="24"/>
                <w:szCs w:val="24"/>
                <w:lang w:val="uk-UA"/>
              </w:rPr>
              <w:t>3.Ільницька Наталія Ярославівна,</w:t>
            </w:r>
            <w:r w:rsidRPr="00295801">
              <w:rPr>
                <w:sz w:val="24"/>
                <w:szCs w:val="24"/>
                <w:lang w:val="uk-UA"/>
              </w:rPr>
              <w:t xml:space="preserve"> </w:t>
            </w:r>
            <w:r>
              <w:rPr>
                <w:sz w:val="24"/>
                <w:szCs w:val="24"/>
                <w:lang w:val="uk-UA"/>
              </w:rPr>
              <w:t>завідувачка радіологічною лабораторією</w:t>
            </w:r>
            <w:r w:rsidR="00AF08DB">
              <w:rPr>
                <w:sz w:val="24"/>
                <w:szCs w:val="24"/>
                <w:lang w:val="uk-UA"/>
              </w:rPr>
              <w:t xml:space="preserve">. </w:t>
            </w:r>
          </w:p>
        </w:tc>
      </w:tr>
      <w:tr w:rsidR="006A5976" w:rsidRPr="000F6336" w14:paraId="3A1C037E" w14:textId="77777777" w:rsidTr="00AF08DB">
        <w:tc>
          <w:tcPr>
            <w:tcW w:w="3964" w:type="dxa"/>
          </w:tcPr>
          <w:p w14:paraId="0CD50A34"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Програма заходу БПР</w:t>
            </w:r>
          </w:p>
        </w:tc>
        <w:tc>
          <w:tcPr>
            <w:tcW w:w="5783" w:type="dxa"/>
          </w:tcPr>
          <w:p w14:paraId="63F51FC4" w14:textId="77777777" w:rsidR="006A5976" w:rsidRDefault="004336DD" w:rsidP="00AF08DB">
            <w:pPr>
              <w:rPr>
                <w:sz w:val="24"/>
                <w:szCs w:val="24"/>
                <w:lang w:val="uk-UA"/>
              </w:rPr>
            </w:pPr>
            <w:r>
              <w:rPr>
                <w:sz w:val="24"/>
                <w:szCs w:val="24"/>
                <w:lang w:val="uk-UA"/>
              </w:rPr>
              <w:t>1. Вітальне слово – Руслан Савчук, генеральний директор ДУ «Івано-Франківський ОЦКПХ МОЗ», Головний державний санітарний лікар Івано-Франківської області;</w:t>
            </w:r>
          </w:p>
          <w:p w14:paraId="4DD088DB" w14:textId="59FBA761" w:rsidR="00763F66" w:rsidRDefault="00763F66" w:rsidP="00AF08DB">
            <w:pPr>
              <w:rPr>
                <w:sz w:val="24"/>
                <w:szCs w:val="24"/>
                <w:lang w:val="uk-UA"/>
              </w:rPr>
            </w:pPr>
          </w:p>
          <w:p w14:paraId="48011845" w14:textId="2ED93C97" w:rsidR="003342D7" w:rsidRPr="006A0DD6" w:rsidRDefault="00401FDC" w:rsidP="003342D7">
            <w:pPr>
              <w:rPr>
                <w:sz w:val="24"/>
                <w:szCs w:val="24"/>
                <w:lang w:val="uk-UA"/>
              </w:rPr>
            </w:pPr>
            <w:r>
              <w:rPr>
                <w:sz w:val="24"/>
                <w:szCs w:val="24"/>
                <w:lang w:val="uk-UA"/>
              </w:rPr>
              <w:t>2.</w:t>
            </w:r>
            <w:r w:rsidR="00A6437A" w:rsidRPr="003342D7">
              <w:rPr>
                <w:sz w:val="24"/>
                <w:szCs w:val="24"/>
                <w:lang w:val="uk-UA"/>
              </w:rPr>
              <w:t xml:space="preserve"> </w:t>
            </w:r>
            <w:r w:rsidR="003342D7">
              <w:rPr>
                <w:sz w:val="24"/>
                <w:szCs w:val="24"/>
                <w:lang w:val="uk-UA"/>
              </w:rPr>
              <w:t xml:space="preserve">Організація роботи груп швидкого реагування з питань радіаційної безпеки- </w:t>
            </w:r>
            <w:proofErr w:type="spellStart"/>
            <w:r w:rsidR="003342D7">
              <w:rPr>
                <w:sz w:val="24"/>
                <w:szCs w:val="24"/>
                <w:lang w:val="uk-UA"/>
              </w:rPr>
              <w:t>Фіглевський</w:t>
            </w:r>
            <w:proofErr w:type="spellEnd"/>
            <w:r w:rsidR="003342D7">
              <w:rPr>
                <w:sz w:val="24"/>
                <w:szCs w:val="24"/>
                <w:lang w:val="uk-UA"/>
              </w:rPr>
              <w:t xml:space="preserve"> Віталій </w:t>
            </w:r>
            <w:proofErr w:type="spellStart"/>
            <w:r w:rsidR="003342D7">
              <w:rPr>
                <w:sz w:val="24"/>
                <w:szCs w:val="24"/>
                <w:lang w:val="uk-UA"/>
              </w:rPr>
              <w:t>Мечеславович</w:t>
            </w:r>
            <w:proofErr w:type="spellEnd"/>
            <w:r w:rsidR="003342D7">
              <w:rPr>
                <w:sz w:val="24"/>
                <w:szCs w:val="24"/>
                <w:lang w:val="uk-UA"/>
              </w:rPr>
              <w:t xml:space="preserve">, в.о. заступника генерального директора з досліджень фізичних та </w:t>
            </w:r>
            <w:proofErr w:type="spellStart"/>
            <w:r w:rsidR="003342D7">
              <w:rPr>
                <w:sz w:val="24"/>
                <w:szCs w:val="24"/>
                <w:lang w:val="uk-UA"/>
              </w:rPr>
              <w:t>хіміч</w:t>
            </w:r>
            <w:proofErr w:type="spellEnd"/>
            <w:r w:rsidR="003342D7" w:rsidRPr="009A56F8">
              <w:rPr>
                <w:sz w:val="24"/>
                <w:szCs w:val="24"/>
                <w:lang w:val="uk-UA"/>
              </w:rPr>
              <w:t xml:space="preserve"> </w:t>
            </w:r>
            <w:r w:rsidR="003342D7">
              <w:rPr>
                <w:sz w:val="24"/>
                <w:szCs w:val="24"/>
                <w:lang w:val="uk-UA"/>
              </w:rPr>
              <w:t xml:space="preserve">них факторів, начальник відділу готовності та реагування на НС, </w:t>
            </w:r>
            <w:r w:rsidR="003342D7" w:rsidRPr="009A56F8">
              <w:rPr>
                <w:sz w:val="24"/>
                <w:szCs w:val="24"/>
                <w:lang w:val="uk-UA"/>
              </w:rPr>
              <w:t xml:space="preserve">лікар </w:t>
            </w:r>
            <w:r w:rsidR="003342D7">
              <w:rPr>
                <w:sz w:val="24"/>
                <w:szCs w:val="24"/>
                <w:lang w:val="uk-UA"/>
              </w:rPr>
              <w:t xml:space="preserve">із </w:t>
            </w:r>
            <w:r w:rsidR="003342D7" w:rsidRPr="009A56F8">
              <w:rPr>
                <w:sz w:val="24"/>
                <w:szCs w:val="24"/>
                <w:lang w:val="uk-UA"/>
              </w:rPr>
              <w:t>загальної гігієни</w:t>
            </w:r>
          </w:p>
          <w:p w14:paraId="6D0CF2B8" w14:textId="77777777" w:rsidR="003342D7" w:rsidRPr="006A0DD6" w:rsidRDefault="003342D7" w:rsidP="003342D7">
            <w:pPr>
              <w:rPr>
                <w:sz w:val="24"/>
                <w:szCs w:val="24"/>
                <w:lang w:val="uk-UA"/>
              </w:rPr>
            </w:pPr>
          </w:p>
          <w:p w14:paraId="25015C1A" w14:textId="02DE96C2" w:rsidR="003342D7" w:rsidRDefault="00A6437A" w:rsidP="003342D7">
            <w:pPr>
              <w:rPr>
                <w:sz w:val="24"/>
                <w:szCs w:val="24"/>
                <w:lang w:val="uk-UA"/>
              </w:rPr>
            </w:pPr>
            <w:r w:rsidRPr="00371596">
              <w:rPr>
                <w:sz w:val="24"/>
                <w:szCs w:val="24"/>
                <w:lang w:val="uk-UA"/>
              </w:rPr>
              <w:t>3</w:t>
            </w:r>
            <w:r w:rsidR="003342D7">
              <w:rPr>
                <w:sz w:val="24"/>
                <w:szCs w:val="24"/>
                <w:lang w:val="uk-UA"/>
              </w:rPr>
              <w:t xml:space="preserve"> Організація та здійснення індивідуального дозиметричного контролю. Порядок ведення реєстру індивідуального дозиметричного контролю</w:t>
            </w:r>
          </w:p>
          <w:p w14:paraId="1B30AFA3" w14:textId="77777777" w:rsidR="003342D7" w:rsidRDefault="00401FDC" w:rsidP="003342D7">
            <w:pPr>
              <w:rPr>
                <w:sz w:val="24"/>
                <w:szCs w:val="24"/>
                <w:lang w:val="uk-UA"/>
              </w:rPr>
            </w:pPr>
            <w:r w:rsidRPr="00A6437A">
              <w:rPr>
                <w:sz w:val="24"/>
                <w:szCs w:val="24"/>
                <w:lang w:val="uk-UA"/>
              </w:rPr>
              <w:t xml:space="preserve">– </w:t>
            </w:r>
            <w:r w:rsidR="003342D7">
              <w:rPr>
                <w:sz w:val="24"/>
                <w:szCs w:val="24"/>
                <w:lang w:val="uk-UA"/>
              </w:rPr>
              <w:t>Ільницька Наталія Ярославівна,</w:t>
            </w:r>
            <w:r w:rsidR="003342D7" w:rsidRPr="00295801">
              <w:rPr>
                <w:sz w:val="24"/>
                <w:szCs w:val="24"/>
                <w:lang w:val="uk-UA"/>
              </w:rPr>
              <w:t xml:space="preserve"> </w:t>
            </w:r>
            <w:r w:rsidR="003342D7">
              <w:rPr>
                <w:sz w:val="24"/>
                <w:szCs w:val="24"/>
                <w:lang w:val="uk-UA"/>
              </w:rPr>
              <w:t>завідувачка радіологічною лабораторією</w:t>
            </w:r>
          </w:p>
          <w:p w14:paraId="35CEC54D" w14:textId="77777777" w:rsidR="003342D7" w:rsidRDefault="003342D7" w:rsidP="003342D7">
            <w:pPr>
              <w:rPr>
                <w:sz w:val="24"/>
                <w:szCs w:val="24"/>
                <w:lang w:val="uk-UA"/>
              </w:rPr>
            </w:pPr>
          </w:p>
          <w:p w14:paraId="01B28EC6" w14:textId="25EF4FC6" w:rsidR="006A5976" w:rsidRDefault="00A6437A" w:rsidP="00AF08DB">
            <w:pPr>
              <w:rPr>
                <w:b/>
                <w:bCs/>
                <w:color w:val="FF0000"/>
                <w:sz w:val="24"/>
                <w:szCs w:val="24"/>
                <w:lang w:val="uk-UA"/>
              </w:rPr>
            </w:pPr>
            <w:r>
              <w:rPr>
                <w:sz w:val="24"/>
                <w:szCs w:val="24"/>
                <w:lang w:val="uk-UA"/>
              </w:rPr>
              <w:t>4</w:t>
            </w:r>
            <w:r w:rsidR="004336DD">
              <w:rPr>
                <w:sz w:val="24"/>
                <w:szCs w:val="24"/>
                <w:lang w:val="uk-UA"/>
              </w:rPr>
              <w:t xml:space="preserve">. Підведення підсумків, обговорення доповідей -   </w:t>
            </w:r>
            <w:proofErr w:type="spellStart"/>
            <w:r w:rsidR="003342D7">
              <w:rPr>
                <w:sz w:val="24"/>
                <w:szCs w:val="24"/>
                <w:lang w:val="uk-UA"/>
              </w:rPr>
              <w:t>Фіглевський</w:t>
            </w:r>
            <w:proofErr w:type="spellEnd"/>
            <w:r w:rsidR="003342D7">
              <w:rPr>
                <w:sz w:val="24"/>
                <w:szCs w:val="24"/>
                <w:lang w:val="uk-UA"/>
              </w:rPr>
              <w:t xml:space="preserve"> Віталій </w:t>
            </w:r>
            <w:proofErr w:type="spellStart"/>
            <w:r w:rsidR="003342D7">
              <w:rPr>
                <w:sz w:val="24"/>
                <w:szCs w:val="24"/>
                <w:lang w:val="uk-UA"/>
              </w:rPr>
              <w:t>Мечеславович</w:t>
            </w:r>
            <w:proofErr w:type="spellEnd"/>
            <w:r w:rsidR="003342D7">
              <w:rPr>
                <w:sz w:val="24"/>
                <w:szCs w:val="24"/>
                <w:lang w:val="uk-UA"/>
              </w:rPr>
              <w:t xml:space="preserve"> ,в.о. заступника генерального директора з досліджень фізичних та </w:t>
            </w:r>
            <w:proofErr w:type="spellStart"/>
            <w:r w:rsidR="003342D7">
              <w:rPr>
                <w:sz w:val="24"/>
                <w:szCs w:val="24"/>
                <w:lang w:val="uk-UA"/>
              </w:rPr>
              <w:t>хіміч</w:t>
            </w:r>
            <w:proofErr w:type="spellEnd"/>
            <w:r w:rsidR="003342D7" w:rsidRPr="009A56F8">
              <w:rPr>
                <w:sz w:val="24"/>
                <w:szCs w:val="24"/>
                <w:lang w:val="uk-UA"/>
              </w:rPr>
              <w:t xml:space="preserve"> </w:t>
            </w:r>
            <w:r w:rsidR="003342D7">
              <w:rPr>
                <w:sz w:val="24"/>
                <w:szCs w:val="24"/>
                <w:lang w:val="uk-UA"/>
              </w:rPr>
              <w:t xml:space="preserve">них факторів, начальник відділу готовності та реагування на НС, </w:t>
            </w:r>
            <w:r w:rsidR="003342D7" w:rsidRPr="009A56F8">
              <w:rPr>
                <w:sz w:val="24"/>
                <w:szCs w:val="24"/>
                <w:lang w:val="uk-UA"/>
              </w:rPr>
              <w:t xml:space="preserve">лікар </w:t>
            </w:r>
            <w:r w:rsidR="003342D7">
              <w:rPr>
                <w:sz w:val="24"/>
                <w:szCs w:val="24"/>
                <w:lang w:val="uk-UA"/>
              </w:rPr>
              <w:t xml:space="preserve">із </w:t>
            </w:r>
            <w:r w:rsidR="003342D7" w:rsidRPr="009A56F8">
              <w:rPr>
                <w:sz w:val="24"/>
                <w:szCs w:val="24"/>
                <w:lang w:val="uk-UA"/>
              </w:rPr>
              <w:t>загальної гігієни</w:t>
            </w:r>
          </w:p>
        </w:tc>
      </w:tr>
      <w:tr w:rsidR="006A5976" w14:paraId="0E73A66A" w14:textId="77777777" w:rsidTr="00AF08DB">
        <w:tc>
          <w:tcPr>
            <w:tcW w:w="3964" w:type="dxa"/>
          </w:tcPr>
          <w:p w14:paraId="5FBED024"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Опис вимог рівня знань, володіння темою, навичок, досвіду учасників до моменту реєстрації на даний захід (за потреби)</w:t>
            </w:r>
          </w:p>
        </w:tc>
        <w:tc>
          <w:tcPr>
            <w:tcW w:w="5783" w:type="dxa"/>
          </w:tcPr>
          <w:p w14:paraId="3643DDFB" w14:textId="77777777" w:rsidR="006A5976" w:rsidRDefault="004336DD" w:rsidP="00AF08DB">
            <w:pPr>
              <w:autoSpaceDE/>
              <w:autoSpaceDN/>
              <w:rPr>
                <w:sz w:val="24"/>
                <w:szCs w:val="24"/>
                <w:lang w:val="uk-UA" w:eastAsia="uk-UA"/>
              </w:rPr>
            </w:pPr>
            <w:r>
              <w:rPr>
                <w:color w:val="000000"/>
                <w:sz w:val="24"/>
                <w:szCs w:val="24"/>
                <w:lang w:val="uk-UA" w:eastAsia="uk-UA"/>
              </w:rPr>
              <w:t>Захід розрахований на представників всіх медичних спеціальностей, з метою отримання необхідних знань для подальшої роботи.</w:t>
            </w:r>
          </w:p>
          <w:p w14:paraId="64A7A50C" w14:textId="16681945" w:rsidR="006A5976" w:rsidRDefault="00F362A6" w:rsidP="00AF08DB">
            <w:pPr>
              <w:rPr>
                <w:b/>
                <w:bCs/>
                <w:sz w:val="24"/>
                <w:szCs w:val="24"/>
                <w:lang w:val="uk-UA"/>
              </w:rPr>
            </w:pPr>
            <w:r>
              <w:rPr>
                <w:color w:val="000000"/>
                <w:sz w:val="24"/>
                <w:szCs w:val="24"/>
                <w:lang w:val="uk-UA" w:eastAsia="uk-UA"/>
              </w:rPr>
              <w:t>Платно - вартість 441,60</w:t>
            </w:r>
            <w:r w:rsidR="004336DD">
              <w:rPr>
                <w:color w:val="000000"/>
                <w:sz w:val="24"/>
                <w:szCs w:val="24"/>
                <w:lang w:val="uk-UA" w:eastAsia="uk-UA"/>
              </w:rPr>
              <w:t>грн</w:t>
            </w:r>
          </w:p>
        </w:tc>
      </w:tr>
      <w:tr w:rsidR="006A5976" w14:paraId="0A2B280C" w14:textId="77777777" w:rsidTr="00AF08DB">
        <w:tc>
          <w:tcPr>
            <w:tcW w:w="3964" w:type="dxa"/>
          </w:tcPr>
          <w:p w14:paraId="05C3D6F3"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 xml:space="preserve">Технічна підтримка (так/ні?). </w:t>
            </w:r>
            <w:r>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783" w:type="dxa"/>
          </w:tcPr>
          <w:p w14:paraId="4519E2B9" w14:textId="77777777" w:rsidR="006A5976" w:rsidRDefault="004336DD" w:rsidP="00AF08DB">
            <w:pPr>
              <w:rPr>
                <w:sz w:val="24"/>
                <w:szCs w:val="24"/>
                <w:lang w:val="uk-UA"/>
              </w:rPr>
            </w:pPr>
            <w:r>
              <w:rPr>
                <w:sz w:val="24"/>
                <w:szCs w:val="24"/>
                <w:lang w:val="uk-UA"/>
              </w:rPr>
              <w:t>Ні</w:t>
            </w:r>
          </w:p>
          <w:p w14:paraId="0D1BA0C3" w14:textId="77777777" w:rsidR="00774FB9" w:rsidRDefault="00774FB9" w:rsidP="00AF08DB">
            <w:pPr>
              <w:rPr>
                <w:sz w:val="24"/>
                <w:szCs w:val="24"/>
                <w:lang w:val="uk-UA"/>
              </w:rPr>
            </w:pPr>
          </w:p>
          <w:p w14:paraId="77F30C3D" w14:textId="77777777" w:rsidR="00774FB9" w:rsidRDefault="00774FB9" w:rsidP="00AF08DB">
            <w:pPr>
              <w:rPr>
                <w:sz w:val="24"/>
                <w:szCs w:val="24"/>
                <w:lang w:val="uk-UA"/>
              </w:rPr>
            </w:pPr>
          </w:p>
          <w:p w14:paraId="4229713A" w14:textId="77777777" w:rsidR="00774FB9" w:rsidRDefault="00774FB9" w:rsidP="00AF08DB">
            <w:pPr>
              <w:rPr>
                <w:sz w:val="24"/>
                <w:szCs w:val="24"/>
                <w:lang w:val="uk-UA"/>
              </w:rPr>
            </w:pPr>
          </w:p>
          <w:p w14:paraId="4AE99BA8" w14:textId="77777777" w:rsidR="00774FB9" w:rsidRDefault="00774FB9" w:rsidP="00AF08DB">
            <w:pPr>
              <w:rPr>
                <w:sz w:val="24"/>
                <w:szCs w:val="24"/>
                <w:lang w:val="uk-UA"/>
              </w:rPr>
            </w:pPr>
          </w:p>
          <w:p w14:paraId="7F0550D9" w14:textId="77777777" w:rsidR="00774FB9" w:rsidRDefault="00774FB9" w:rsidP="00AF08DB">
            <w:pPr>
              <w:rPr>
                <w:sz w:val="24"/>
                <w:szCs w:val="24"/>
                <w:lang w:val="uk-UA"/>
              </w:rPr>
            </w:pPr>
          </w:p>
          <w:p w14:paraId="09FB865A" w14:textId="77777777" w:rsidR="00774FB9" w:rsidRDefault="00774FB9" w:rsidP="00AF08DB">
            <w:pPr>
              <w:rPr>
                <w:sz w:val="24"/>
                <w:szCs w:val="24"/>
                <w:lang w:val="uk-UA"/>
              </w:rPr>
            </w:pPr>
          </w:p>
          <w:p w14:paraId="115DE55E" w14:textId="77777777" w:rsidR="00774FB9" w:rsidRDefault="00774FB9" w:rsidP="00AF08DB">
            <w:pPr>
              <w:rPr>
                <w:sz w:val="24"/>
                <w:szCs w:val="24"/>
                <w:lang w:val="uk-UA"/>
              </w:rPr>
            </w:pPr>
          </w:p>
          <w:p w14:paraId="5A35033D" w14:textId="77777777" w:rsidR="00774FB9" w:rsidRDefault="00774FB9" w:rsidP="00AF08DB">
            <w:pPr>
              <w:rPr>
                <w:sz w:val="24"/>
                <w:szCs w:val="24"/>
                <w:lang w:val="uk-UA"/>
              </w:rPr>
            </w:pPr>
          </w:p>
          <w:p w14:paraId="3ECA2EED" w14:textId="77777777" w:rsidR="00774FB9" w:rsidRDefault="00774FB9" w:rsidP="00AF08DB">
            <w:pPr>
              <w:rPr>
                <w:sz w:val="24"/>
                <w:szCs w:val="24"/>
                <w:lang w:val="uk-UA"/>
              </w:rPr>
            </w:pPr>
          </w:p>
          <w:p w14:paraId="6D7705EC" w14:textId="77777777" w:rsidR="00774FB9" w:rsidRDefault="00774FB9" w:rsidP="00AF08DB">
            <w:pPr>
              <w:rPr>
                <w:b/>
                <w:bCs/>
                <w:sz w:val="24"/>
                <w:szCs w:val="24"/>
                <w:lang w:val="uk-UA"/>
              </w:rPr>
            </w:pPr>
          </w:p>
        </w:tc>
      </w:tr>
      <w:tr w:rsidR="006A5976" w:rsidRPr="000F6336" w14:paraId="44F71AE4" w14:textId="77777777" w:rsidTr="00AF08DB">
        <w:tc>
          <w:tcPr>
            <w:tcW w:w="3964" w:type="dxa"/>
          </w:tcPr>
          <w:p w14:paraId="34AC0AD5"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lastRenderedPageBreak/>
              <w:t>Методи оцінювання набутих знань</w:t>
            </w:r>
          </w:p>
        </w:tc>
        <w:tc>
          <w:tcPr>
            <w:tcW w:w="5783" w:type="dxa"/>
          </w:tcPr>
          <w:p w14:paraId="4728693E" w14:textId="77777777" w:rsidR="006A5976" w:rsidRDefault="004336DD" w:rsidP="00AF08DB">
            <w:pPr>
              <w:rPr>
                <w:sz w:val="24"/>
                <w:szCs w:val="24"/>
                <w:lang w:val="uk-UA"/>
              </w:rPr>
            </w:pPr>
            <w:r>
              <w:rPr>
                <w:sz w:val="24"/>
                <w:szCs w:val="24"/>
                <w:lang w:val="uk-UA"/>
              </w:rPr>
              <w:t>Після закінчення семінару всі зареєстровані учасники отримають посилання на тестування.</w:t>
            </w:r>
          </w:p>
          <w:p w14:paraId="745A3D85" w14:textId="3A1DB795" w:rsidR="006A5976" w:rsidRDefault="004336DD" w:rsidP="00AF08DB">
            <w:pPr>
              <w:rPr>
                <w:b/>
                <w:bCs/>
                <w:sz w:val="24"/>
                <w:szCs w:val="24"/>
                <w:lang w:val="uk-UA"/>
              </w:rPr>
            </w:pPr>
            <w:r>
              <w:rPr>
                <w:sz w:val="24"/>
                <w:szCs w:val="24"/>
                <w:lang w:val="uk-UA"/>
              </w:rPr>
              <w:t xml:space="preserve">Сертифікат з </w:t>
            </w:r>
            <w:r w:rsidR="009A3553">
              <w:rPr>
                <w:color w:val="FF0000"/>
                <w:sz w:val="24"/>
                <w:szCs w:val="24"/>
                <w:lang w:val="uk-UA"/>
              </w:rPr>
              <w:t>7</w:t>
            </w:r>
            <w:r>
              <w:rPr>
                <w:sz w:val="24"/>
                <w:szCs w:val="24"/>
                <w:lang w:val="uk-UA"/>
              </w:rPr>
              <w:t xml:space="preserve"> балами БПР отримають ті учасники, які за результатами тестування отримають </w:t>
            </w:r>
            <w:r w:rsidR="00F7680D">
              <w:rPr>
                <w:sz w:val="24"/>
                <w:szCs w:val="24"/>
                <w:lang w:val="uk-UA"/>
              </w:rPr>
              <w:t>80</w:t>
            </w:r>
            <w:r>
              <w:rPr>
                <w:sz w:val="24"/>
                <w:szCs w:val="24"/>
                <w:lang w:val="uk-UA"/>
              </w:rPr>
              <w:t>% і більше правильних відповідей</w:t>
            </w:r>
          </w:p>
        </w:tc>
      </w:tr>
      <w:tr w:rsidR="006A5976" w:rsidRPr="000F6336" w14:paraId="2DEAE0F6" w14:textId="77777777" w:rsidTr="00AF08DB">
        <w:tc>
          <w:tcPr>
            <w:tcW w:w="3964" w:type="dxa"/>
          </w:tcPr>
          <w:p w14:paraId="56CF752B"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Код заходу БПР (</w:t>
            </w:r>
            <w:r>
              <w:rPr>
                <w:i/>
                <w:iCs/>
                <w:lang w:val="uk-UA"/>
              </w:rPr>
              <w:t>Реєстраційний номер заходу БПР вноситься після присвоєння Адміністратором</w:t>
            </w:r>
            <w:r>
              <w:rPr>
                <w:sz w:val="24"/>
                <w:szCs w:val="24"/>
                <w:lang w:val="uk-UA"/>
              </w:rPr>
              <w:t>)</w:t>
            </w:r>
          </w:p>
        </w:tc>
        <w:tc>
          <w:tcPr>
            <w:tcW w:w="5783" w:type="dxa"/>
          </w:tcPr>
          <w:p w14:paraId="6FCED260" w14:textId="77777777" w:rsidR="006A5976" w:rsidRDefault="006A5976" w:rsidP="00AF08DB">
            <w:pPr>
              <w:rPr>
                <w:sz w:val="24"/>
                <w:szCs w:val="24"/>
                <w:lang w:val="uk-UA"/>
              </w:rPr>
            </w:pPr>
          </w:p>
          <w:p w14:paraId="6C69B252" w14:textId="77777777" w:rsidR="006A5976" w:rsidRDefault="004336DD" w:rsidP="00AF08DB">
            <w:pPr>
              <w:rPr>
                <w:b/>
                <w:bCs/>
                <w:sz w:val="24"/>
                <w:szCs w:val="24"/>
                <w:lang w:val="uk-UA"/>
              </w:rPr>
            </w:pPr>
            <w:r>
              <w:rPr>
                <w:sz w:val="24"/>
                <w:szCs w:val="24"/>
                <w:lang w:val="uk-UA"/>
              </w:rPr>
              <w:tab/>
            </w:r>
          </w:p>
        </w:tc>
      </w:tr>
    </w:tbl>
    <w:p w14:paraId="26C509DF" w14:textId="77777777" w:rsidR="006A5976" w:rsidRDefault="006A5976" w:rsidP="00774FB9">
      <w:pPr>
        <w:jc w:val="center"/>
        <w:rPr>
          <w:b/>
          <w:sz w:val="28"/>
          <w:szCs w:val="28"/>
          <w:lang w:val="uk-UA"/>
        </w:rPr>
      </w:pPr>
    </w:p>
    <w:sectPr w:rsidR="006A5976">
      <w:footerReference w:type="default" r:id="rId7"/>
      <w:pgSz w:w="11910" w:h="16840"/>
      <w:pgMar w:top="1134" w:right="850"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2E1EF" w14:textId="77777777" w:rsidR="00785533" w:rsidRDefault="00785533">
      <w:r>
        <w:separator/>
      </w:r>
    </w:p>
  </w:endnote>
  <w:endnote w:type="continuationSeparator" w:id="0">
    <w:p w14:paraId="020C0D91" w14:textId="77777777" w:rsidR="00785533" w:rsidRDefault="0078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08475"/>
      <w:docPartObj>
        <w:docPartGallery w:val="AutoText"/>
      </w:docPartObj>
    </w:sdtPr>
    <w:sdtEndPr/>
    <w:sdtContent>
      <w:p w14:paraId="31689866" w14:textId="69DBD266" w:rsidR="006A5976" w:rsidRDefault="004336DD">
        <w:pPr>
          <w:pStyle w:val="a5"/>
          <w:jc w:val="center"/>
        </w:pPr>
        <w:r>
          <w:fldChar w:fldCharType="begin"/>
        </w:r>
        <w:r>
          <w:instrText>PAGE   \* MERGEFORMAT</w:instrText>
        </w:r>
        <w:r>
          <w:fldChar w:fldCharType="separate"/>
        </w:r>
        <w:r w:rsidR="00021385" w:rsidRPr="00021385">
          <w:rPr>
            <w:noProof/>
            <w:lang w:val="uk-UA"/>
          </w:rPr>
          <w:t>1</w:t>
        </w:r>
        <w:r>
          <w:fldChar w:fldCharType="end"/>
        </w:r>
      </w:p>
    </w:sdtContent>
  </w:sdt>
  <w:p w14:paraId="14AB574D" w14:textId="77777777" w:rsidR="006A5976" w:rsidRDefault="006A5976">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F769C" w14:textId="77777777" w:rsidR="00785533" w:rsidRDefault="00785533">
      <w:r>
        <w:separator/>
      </w:r>
    </w:p>
  </w:footnote>
  <w:footnote w:type="continuationSeparator" w:id="0">
    <w:p w14:paraId="50FC431D" w14:textId="77777777" w:rsidR="00785533" w:rsidRDefault="007855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790"/>
    <w:multiLevelType w:val="hybridMultilevel"/>
    <w:tmpl w:val="B518E7F6"/>
    <w:lvl w:ilvl="0" w:tplc="102A88FC">
      <w:start w:val="3"/>
      <w:numFmt w:val="decimal"/>
      <w:lvlText w:val="%1."/>
      <w:lvlJc w:val="left"/>
      <w:pPr>
        <w:ind w:left="369" w:hanging="360"/>
      </w:pPr>
      <w:rPr>
        <w:rFonts w:hint="default"/>
      </w:rPr>
    </w:lvl>
    <w:lvl w:ilvl="1" w:tplc="04220019" w:tentative="1">
      <w:start w:val="1"/>
      <w:numFmt w:val="lowerLetter"/>
      <w:lvlText w:val="%2."/>
      <w:lvlJc w:val="left"/>
      <w:pPr>
        <w:ind w:left="1089" w:hanging="360"/>
      </w:pPr>
    </w:lvl>
    <w:lvl w:ilvl="2" w:tplc="0422001B" w:tentative="1">
      <w:start w:val="1"/>
      <w:numFmt w:val="lowerRoman"/>
      <w:lvlText w:val="%3."/>
      <w:lvlJc w:val="right"/>
      <w:pPr>
        <w:ind w:left="1809" w:hanging="180"/>
      </w:pPr>
    </w:lvl>
    <w:lvl w:ilvl="3" w:tplc="0422000F" w:tentative="1">
      <w:start w:val="1"/>
      <w:numFmt w:val="decimal"/>
      <w:lvlText w:val="%4."/>
      <w:lvlJc w:val="left"/>
      <w:pPr>
        <w:ind w:left="2529" w:hanging="360"/>
      </w:pPr>
    </w:lvl>
    <w:lvl w:ilvl="4" w:tplc="04220019" w:tentative="1">
      <w:start w:val="1"/>
      <w:numFmt w:val="lowerLetter"/>
      <w:lvlText w:val="%5."/>
      <w:lvlJc w:val="left"/>
      <w:pPr>
        <w:ind w:left="3249" w:hanging="360"/>
      </w:pPr>
    </w:lvl>
    <w:lvl w:ilvl="5" w:tplc="0422001B" w:tentative="1">
      <w:start w:val="1"/>
      <w:numFmt w:val="lowerRoman"/>
      <w:lvlText w:val="%6."/>
      <w:lvlJc w:val="right"/>
      <w:pPr>
        <w:ind w:left="3969" w:hanging="180"/>
      </w:pPr>
    </w:lvl>
    <w:lvl w:ilvl="6" w:tplc="0422000F" w:tentative="1">
      <w:start w:val="1"/>
      <w:numFmt w:val="decimal"/>
      <w:lvlText w:val="%7."/>
      <w:lvlJc w:val="left"/>
      <w:pPr>
        <w:ind w:left="4689" w:hanging="360"/>
      </w:pPr>
    </w:lvl>
    <w:lvl w:ilvl="7" w:tplc="04220019" w:tentative="1">
      <w:start w:val="1"/>
      <w:numFmt w:val="lowerLetter"/>
      <w:lvlText w:val="%8."/>
      <w:lvlJc w:val="left"/>
      <w:pPr>
        <w:ind w:left="5409" w:hanging="360"/>
      </w:pPr>
    </w:lvl>
    <w:lvl w:ilvl="8" w:tplc="0422001B" w:tentative="1">
      <w:start w:val="1"/>
      <w:numFmt w:val="lowerRoman"/>
      <w:lvlText w:val="%9."/>
      <w:lvlJc w:val="right"/>
      <w:pPr>
        <w:ind w:left="6129" w:hanging="180"/>
      </w:pPr>
    </w:lvl>
  </w:abstractNum>
  <w:abstractNum w:abstractNumId="1" w15:restartNumberingAfterBreak="0">
    <w:nsid w:val="3CC4741C"/>
    <w:multiLevelType w:val="multilevel"/>
    <w:tmpl w:val="3CC47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AD1478"/>
    <w:multiLevelType w:val="multilevel"/>
    <w:tmpl w:val="55AD147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C8"/>
    <w:rsid w:val="00021385"/>
    <w:rsid w:val="000A0BD2"/>
    <w:rsid w:val="000C6126"/>
    <w:rsid w:val="000F6336"/>
    <w:rsid w:val="0010580C"/>
    <w:rsid w:val="00175C1D"/>
    <w:rsid w:val="001911CC"/>
    <w:rsid w:val="001A3255"/>
    <w:rsid w:val="001C5324"/>
    <w:rsid w:val="00206E11"/>
    <w:rsid w:val="002107E7"/>
    <w:rsid w:val="002169C8"/>
    <w:rsid w:val="002417E9"/>
    <w:rsid w:val="003342D7"/>
    <w:rsid w:val="003612A4"/>
    <w:rsid w:val="00371596"/>
    <w:rsid w:val="0039596C"/>
    <w:rsid w:val="003A370B"/>
    <w:rsid w:val="003A3744"/>
    <w:rsid w:val="003E3CCB"/>
    <w:rsid w:val="003E596D"/>
    <w:rsid w:val="00401FDC"/>
    <w:rsid w:val="004336DD"/>
    <w:rsid w:val="0044682D"/>
    <w:rsid w:val="00460AB7"/>
    <w:rsid w:val="004B1191"/>
    <w:rsid w:val="00544BA6"/>
    <w:rsid w:val="00564D84"/>
    <w:rsid w:val="00591140"/>
    <w:rsid w:val="00597253"/>
    <w:rsid w:val="005E3CB2"/>
    <w:rsid w:val="006266B8"/>
    <w:rsid w:val="006A5976"/>
    <w:rsid w:val="00711E0E"/>
    <w:rsid w:val="00763F66"/>
    <w:rsid w:val="00774FB9"/>
    <w:rsid w:val="00785533"/>
    <w:rsid w:val="00796ED7"/>
    <w:rsid w:val="0079789F"/>
    <w:rsid w:val="007B20C6"/>
    <w:rsid w:val="008D67D8"/>
    <w:rsid w:val="008F153E"/>
    <w:rsid w:val="00900951"/>
    <w:rsid w:val="00985670"/>
    <w:rsid w:val="009A03AA"/>
    <w:rsid w:val="009A3553"/>
    <w:rsid w:val="009C1C99"/>
    <w:rsid w:val="009C358A"/>
    <w:rsid w:val="009D4442"/>
    <w:rsid w:val="009D471E"/>
    <w:rsid w:val="00A14A09"/>
    <w:rsid w:val="00A4355B"/>
    <w:rsid w:val="00A50460"/>
    <w:rsid w:val="00A6437A"/>
    <w:rsid w:val="00A70627"/>
    <w:rsid w:val="00AA3324"/>
    <w:rsid w:val="00AB13B4"/>
    <w:rsid w:val="00AF08DB"/>
    <w:rsid w:val="00C0595F"/>
    <w:rsid w:val="00C25150"/>
    <w:rsid w:val="00CE1075"/>
    <w:rsid w:val="00CF6E24"/>
    <w:rsid w:val="00D202E2"/>
    <w:rsid w:val="00D231E3"/>
    <w:rsid w:val="00D340D4"/>
    <w:rsid w:val="00D43DDE"/>
    <w:rsid w:val="00D834A0"/>
    <w:rsid w:val="00E9160B"/>
    <w:rsid w:val="00EB66CA"/>
    <w:rsid w:val="00EC765A"/>
    <w:rsid w:val="00F155F4"/>
    <w:rsid w:val="00F362A6"/>
    <w:rsid w:val="00F64DE3"/>
    <w:rsid w:val="00F7680D"/>
    <w:rsid w:val="00F8066D"/>
    <w:rsid w:val="00F930B9"/>
    <w:rsid w:val="00FD2A53"/>
    <w:rsid w:val="020A629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44F1"/>
  <w15:docId w15:val="{DA6B8F9B-E329-4D48-9205-B62CA1D8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61"/>
      <w:jc w:val="both"/>
    </w:pPr>
    <w:rPr>
      <w:sz w:val="28"/>
      <w:szCs w:val="28"/>
    </w:rPr>
  </w:style>
  <w:style w:type="paragraph" w:styleId="a5">
    <w:name w:val="footer"/>
    <w:basedOn w:val="a"/>
    <w:link w:val="a6"/>
    <w:uiPriority w:val="99"/>
    <w:pPr>
      <w:tabs>
        <w:tab w:val="center" w:pos="4677"/>
        <w:tab w:val="right" w:pos="9355"/>
      </w:tabs>
    </w:p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Pr>
      <w:rFonts w:ascii="Times New Roman" w:eastAsia="Times New Roman" w:hAnsi="Times New Roman" w:cs="Times New Roman"/>
      <w:sz w:val="28"/>
      <w:szCs w:val="28"/>
      <w:lang w:val="en-US"/>
    </w:rPr>
  </w:style>
  <w:style w:type="paragraph" w:styleId="a8">
    <w:name w:val="List Paragraph"/>
    <w:basedOn w:val="a"/>
    <w:uiPriority w:val="1"/>
    <w:qFormat/>
    <w:pPr>
      <w:ind w:left="161" w:right="406" w:firstLine="708"/>
      <w:jc w:val="both"/>
    </w:pPr>
  </w:style>
  <w:style w:type="character" w:customStyle="1" w:styleId="a6">
    <w:name w:val="Нижний колонтитул Знак"/>
    <w:basedOn w:val="a0"/>
    <w:link w:val="a5"/>
    <w:uiPriority w:val="99"/>
    <w:qFormat/>
    <w:rPr>
      <w:rFonts w:ascii="Times New Roman" w:eastAsia="Times New Roman" w:hAnsi="Times New Roman" w:cs="Times New Roman"/>
      <w:lang w:val="en-US"/>
    </w:rPr>
  </w:style>
  <w:style w:type="table" w:customStyle="1" w:styleId="1">
    <w:name w:val="Звичайна таблиця1"/>
    <w:semiHidden/>
    <w:rPr>
      <w:rFonts w:cs="Times New Roman" w:hint="eastAsia"/>
    </w:rPr>
    <w:tblPr>
      <w:tblCellMar>
        <w:top w:w="0" w:type="dxa"/>
        <w:left w:w="100" w:type="dxa"/>
        <w:bottom w:w="0" w:type="dxa"/>
        <w:right w:w="100" w:type="dxa"/>
      </w:tblCellMar>
    </w:tblPr>
  </w:style>
  <w:style w:type="table" w:customStyle="1" w:styleId="TableNormal1">
    <w:name w:val="Table Normal1"/>
    <w:semiHidden/>
    <w:rPr>
      <w:rFonts w:cs="Times New Roman" w:hint="eastAsia"/>
    </w:rPr>
    <w:tblPr>
      <w:tblCellMar>
        <w:top w:w="0" w:type="dxa"/>
        <w:left w:w="0" w:type="dxa"/>
        <w:bottom w:w="0" w:type="dxa"/>
        <w:right w:w="0" w:type="dxa"/>
      </w:tblCellMar>
    </w:tblPr>
  </w:style>
  <w:style w:type="character" w:customStyle="1" w:styleId="bzpyqfadein">
    <w:name w:val="bz_pyq_fadein"/>
    <w:basedOn w:val="a0"/>
    <w:rsid w:val="000F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058584">
      <w:bodyDiv w:val="1"/>
      <w:marLeft w:val="0"/>
      <w:marRight w:val="0"/>
      <w:marTop w:val="0"/>
      <w:marBottom w:val="0"/>
      <w:divBdr>
        <w:top w:val="none" w:sz="0" w:space="0" w:color="auto"/>
        <w:left w:val="none" w:sz="0" w:space="0" w:color="auto"/>
        <w:bottom w:val="none" w:sz="0" w:space="0" w:color="auto"/>
        <w:right w:val="none" w:sz="0" w:space="0" w:color="auto"/>
      </w:divBdr>
    </w:div>
    <w:div w:id="1586302352">
      <w:bodyDiv w:val="1"/>
      <w:marLeft w:val="0"/>
      <w:marRight w:val="0"/>
      <w:marTop w:val="0"/>
      <w:marBottom w:val="0"/>
      <w:divBdr>
        <w:top w:val="none" w:sz="0" w:space="0" w:color="auto"/>
        <w:left w:val="none" w:sz="0" w:space="0" w:color="auto"/>
        <w:bottom w:val="none" w:sz="0" w:space="0" w:color="auto"/>
        <w:right w:val="none" w:sz="0" w:space="0" w:color="auto"/>
      </w:divBdr>
    </w:div>
    <w:div w:id="2142535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3153</Words>
  <Characters>1798</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Valentyna Bykhovchenko</dc:creator>
  <cp:lastModifiedBy>ZBooK</cp:lastModifiedBy>
  <cp:revision>7</cp:revision>
  <cp:lastPrinted>2024-11-06T12:09:00Z</cp:lastPrinted>
  <dcterms:created xsi:type="dcterms:W3CDTF">2026-03-13T15:03:00Z</dcterms:created>
  <dcterms:modified xsi:type="dcterms:W3CDTF">2026-03-16T12:13:00Z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F912659602E142A4B6129C33E148ED8A_13</vt:lpwstr>
  </property>
</Properties>
</file>